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B0" w:rsidRPr="00B400B0" w:rsidRDefault="00B400B0" w:rsidP="00B400B0">
      <w:pPr>
        <w:rPr>
          <w:b/>
        </w:rPr>
      </w:pPr>
      <w:bookmarkStart w:id="0" w:name="_GoBack"/>
      <w:bookmarkEnd w:id="0"/>
      <w:permStart w:id="734285059" w:edGrp="everyone"/>
      <w:permEnd w:id="734285059"/>
      <w:r w:rsidRPr="00B400B0">
        <w:rPr>
          <w:b/>
        </w:rPr>
        <w:t>Criteri di valutazione per superamento debito formativo</w:t>
      </w:r>
    </w:p>
    <w:p w:rsidR="00B400B0" w:rsidRDefault="00B400B0" w:rsidP="00B400B0">
      <w:r>
        <w:t>Il Collegio dei docenti, ad integrazione dei criteri già adottati per gli scrutini finali, adotta i seguenti criteri per gli scrutini integrativi:</w:t>
      </w:r>
    </w:p>
    <w:p w:rsidR="00B400B0" w:rsidRDefault="00B400B0" w:rsidP="00B400B0">
      <w:r>
        <w:t>1. Gli esiti delle verifiche conclusive dei corsi di recupero, comprensivi per le prove scritte della discussione degli elaborati, saranno valutati alla luce di tutto il percorso didattico annuale degli studenti, superando qualunque rapporto automatico tra l’eventuale punteggio negativo della verifica e la valutazione negativa dello studente</w:t>
      </w:r>
    </w:p>
    <w:p w:rsidR="00B400B0" w:rsidRDefault="00B400B0" w:rsidP="00B400B0">
      <w:r>
        <w:t>2. Anche nel caso del raggiungimento di un punteggio non pienamente sufficiente si presterà attenzione prevalente ai seguenti aspetti:</w:t>
      </w:r>
    </w:p>
    <w:p w:rsidR="00B400B0" w:rsidRDefault="00B400B0" w:rsidP="00B400B0">
      <w:pPr>
        <w:pStyle w:val="Paragrafoelenco"/>
        <w:numPr>
          <w:ilvl w:val="0"/>
          <w:numId w:val="1"/>
        </w:numPr>
      </w:pPr>
      <w:r>
        <w:t>Progressi rispetto ai livelli di partenza</w:t>
      </w:r>
    </w:p>
    <w:p w:rsidR="00B400B0" w:rsidRDefault="00B400B0" w:rsidP="00B400B0">
      <w:pPr>
        <w:pStyle w:val="Paragrafoelenco"/>
        <w:numPr>
          <w:ilvl w:val="0"/>
          <w:numId w:val="1"/>
        </w:numPr>
      </w:pPr>
      <w:r>
        <w:t>Grado di raggiungimento degli obiettivi minimi disciplinari</w:t>
      </w:r>
    </w:p>
    <w:p w:rsidR="00B400B0" w:rsidRDefault="00B400B0" w:rsidP="00B400B0">
      <w:pPr>
        <w:pStyle w:val="Paragrafoelenco"/>
        <w:numPr>
          <w:ilvl w:val="0"/>
          <w:numId w:val="1"/>
        </w:numPr>
      </w:pPr>
      <w:r>
        <w:t xml:space="preserve"> Nel caso di lavoro scritto o scrittografico capacità di autocorrezione, rettifica, approfondimento rispetto al proprio elaborato;</w:t>
      </w:r>
    </w:p>
    <w:p w:rsidR="00B400B0" w:rsidRDefault="00B400B0" w:rsidP="00B400B0">
      <w:r>
        <w:t>3. Relativamente alla attribuzione del credito scolastico per le classi del triennio, il saldo del debito con la piena sufficienza potrà permettere l’attribuzione del punteggio più alto della banda di oscillazione, sempre sulla base della competenza valutativa del Consiglio di classe.</w:t>
      </w:r>
    </w:p>
    <w:p w:rsidR="00B400B0" w:rsidRPr="00B400B0" w:rsidRDefault="00B400B0" w:rsidP="00B400B0">
      <w:pPr>
        <w:rPr>
          <w:b/>
        </w:rPr>
      </w:pPr>
      <w:r w:rsidRPr="00B400B0">
        <w:rPr>
          <w:b/>
        </w:rPr>
        <w:t>4.7 Criteri per l’assegnazione del credito scolastico</w:t>
      </w:r>
    </w:p>
    <w:p w:rsidR="00B400B0" w:rsidRDefault="00B400B0" w:rsidP="00B400B0">
      <w:r>
        <w:t>Per le classi III, IV e V in sede di scrutinio finale, oltre ai voti per le singole materie e a quello di condotta, viene attribuito anche un punteggio per il CREDITO SCOLASTICO che, sommato nei tre anni, costituirà il punteggio di base cumulabile con quello conseguito nelle prove previste per l’esame di stato.</w:t>
      </w:r>
    </w:p>
    <w:p w:rsidR="00B400B0" w:rsidRDefault="00B400B0" w:rsidP="00B400B0">
      <w:pPr>
        <w:pStyle w:val="Default"/>
        <w:rPr>
          <w:sz w:val="22"/>
          <w:szCs w:val="22"/>
        </w:rPr>
      </w:pPr>
      <w:r>
        <w:t xml:space="preserve">La media dei voti conseguiti (incluso il voto di condotta) inserisce automaticamente l’alunno in una fascia di punteggio predefinita dal MPI; all’interno di ogni </w:t>
      </w:r>
      <w:r w:rsidR="00124A43">
        <w:rPr>
          <w:sz w:val="22"/>
          <w:szCs w:val="22"/>
        </w:rPr>
        <w:t>fascia c’è una banda di oscillazione di 1 punto, come indicato dallo schema seguente:</w:t>
      </w:r>
    </w:p>
    <w:tbl>
      <w:tblPr>
        <w:tblStyle w:val="Grigliatabella"/>
        <w:tblW w:w="0" w:type="auto"/>
        <w:tblLook w:val="04A0" w:firstRow="1" w:lastRow="0" w:firstColumn="1" w:lastColumn="0" w:noHBand="0" w:noVBand="1"/>
      </w:tblPr>
      <w:tblGrid>
        <w:gridCol w:w="2407"/>
        <w:gridCol w:w="2407"/>
        <w:gridCol w:w="2407"/>
        <w:gridCol w:w="2407"/>
      </w:tblGrid>
      <w:tr w:rsidR="00124A43" w:rsidTr="00124A43">
        <w:tc>
          <w:tcPr>
            <w:tcW w:w="2407" w:type="dxa"/>
          </w:tcPr>
          <w:p w:rsidR="00124A43" w:rsidRDefault="00124A43" w:rsidP="00B400B0">
            <w:pPr>
              <w:pStyle w:val="Default"/>
              <w:rPr>
                <w:sz w:val="22"/>
                <w:szCs w:val="22"/>
              </w:rPr>
            </w:pPr>
            <w:r>
              <w:rPr>
                <w:sz w:val="22"/>
                <w:szCs w:val="22"/>
              </w:rPr>
              <w:t>La media dei voti</w:t>
            </w:r>
          </w:p>
        </w:tc>
        <w:tc>
          <w:tcPr>
            <w:tcW w:w="2407" w:type="dxa"/>
          </w:tcPr>
          <w:p w:rsidR="00124A43" w:rsidRDefault="00124A43" w:rsidP="00B400B0">
            <w:pPr>
              <w:pStyle w:val="Default"/>
              <w:rPr>
                <w:sz w:val="22"/>
                <w:szCs w:val="22"/>
              </w:rPr>
            </w:pPr>
            <w:r>
              <w:rPr>
                <w:sz w:val="20"/>
                <w:szCs w:val="20"/>
              </w:rPr>
              <w:t>Terza</w:t>
            </w:r>
          </w:p>
        </w:tc>
        <w:tc>
          <w:tcPr>
            <w:tcW w:w="2407" w:type="dxa"/>
          </w:tcPr>
          <w:p w:rsidR="00124A43" w:rsidRDefault="00124A43" w:rsidP="00B400B0">
            <w:pPr>
              <w:pStyle w:val="Default"/>
              <w:rPr>
                <w:sz w:val="22"/>
                <w:szCs w:val="22"/>
              </w:rPr>
            </w:pPr>
            <w:r>
              <w:rPr>
                <w:sz w:val="20"/>
                <w:szCs w:val="20"/>
              </w:rPr>
              <w:t>Quarta</w:t>
            </w:r>
          </w:p>
        </w:tc>
        <w:tc>
          <w:tcPr>
            <w:tcW w:w="2407" w:type="dxa"/>
          </w:tcPr>
          <w:p w:rsidR="00124A43" w:rsidRDefault="00124A43" w:rsidP="00B400B0">
            <w:pPr>
              <w:pStyle w:val="Default"/>
              <w:rPr>
                <w:sz w:val="22"/>
                <w:szCs w:val="22"/>
              </w:rPr>
            </w:pPr>
            <w:r>
              <w:rPr>
                <w:sz w:val="20"/>
                <w:szCs w:val="20"/>
              </w:rPr>
              <w:t>Quinta</w:t>
            </w:r>
          </w:p>
        </w:tc>
      </w:tr>
      <w:tr w:rsidR="00124A43" w:rsidTr="00124A43">
        <w:tc>
          <w:tcPr>
            <w:tcW w:w="2407" w:type="dxa"/>
          </w:tcPr>
          <w:p w:rsidR="00124A43" w:rsidRDefault="00124A43" w:rsidP="00124A43">
            <w:pPr>
              <w:pStyle w:val="Default"/>
              <w:rPr>
                <w:sz w:val="20"/>
                <w:szCs w:val="20"/>
              </w:rPr>
            </w:pPr>
            <w:r>
              <w:rPr>
                <w:sz w:val="20"/>
                <w:szCs w:val="20"/>
              </w:rPr>
              <w:t xml:space="preserve">M = 6 </w:t>
            </w:r>
          </w:p>
        </w:tc>
        <w:tc>
          <w:tcPr>
            <w:tcW w:w="2407" w:type="dxa"/>
          </w:tcPr>
          <w:p w:rsidR="00124A43" w:rsidRDefault="00124A43" w:rsidP="00124A43">
            <w:pPr>
              <w:pStyle w:val="Default"/>
              <w:rPr>
                <w:sz w:val="20"/>
                <w:szCs w:val="20"/>
              </w:rPr>
            </w:pPr>
            <w:r>
              <w:rPr>
                <w:sz w:val="20"/>
                <w:szCs w:val="20"/>
              </w:rPr>
              <w:t xml:space="preserve">3-4 </w:t>
            </w:r>
          </w:p>
        </w:tc>
        <w:tc>
          <w:tcPr>
            <w:tcW w:w="2407" w:type="dxa"/>
          </w:tcPr>
          <w:p w:rsidR="00124A43" w:rsidRDefault="00124A43" w:rsidP="00124A43">
            <w:pPr>
              <w:pStyle w:val="Default"/>
              <w:rPr>
                <w:sz w:val="20"/>
                <w:szCs w:val="20"/>
              </w:rPr>
            </w:pPr>
            <w:r>
              <w:rPr>
                <w:sz w:val="20"/>
                <w:szCs w:val="20"/>
              </w:rPr>
              <w:t xml:space="preserve">3-4 </w:t>
            </w:r>
          </w:p>
        </w:tc>
        <w:tc>
          <w:tcPr>
            <w:tcW w:w="2407" w:type="dxa"/>
          </w:tcPr>
          <w:p w:rsidR="00124A43" w:rsidRDefault="00124A43" w:rsidP="00124A43">
            <w:pPr>
              <w:pStyle w:val="Default"/>
              <w:rPr>
                <w:sz w:val="20"/>
                <w:szCs w:val="20"/>
              </w:rPr>
            </w:pPr>
            <w:r>
              <w:rPr>
                <w:sz w:val="20"/>
                <w:szCs w:val="20"/>
              </w:rPr>
              <w:t xml:space="preserve">4-5 </w:t>
            </w:r>
          </w:p>
        </w:tc>
      </w:tr>
      <w:tr w:rsidR="00124A43" w:rsidTr="00124A43">
        <w:tc>
          <w:tcPr>
            <w:tcW w:w="2407" w:type="dxa"/>
          </w:tcPr>
          <w:p w:rsidR="00124A43" w:rsidRDefault="00124A43" w:rsidP="00124A43">
            <w:pPr>
              <w:pStyle w:val="Default"/>
              <w:rPr>
                <w:sz w:val="20"/>
                <w:szCs w:val="20"/>
              </w:rPr>
            </w:pPr>
            <w:r>
              <w:rPr>
                <w:sz w:val="20"/>
                <w:szCs w:val="20"/>
              </w:rPr>
              <w:t xml:space="preserve">6 &lt; M ≤ 7 </w:t>
            </w:r>
          </w:p>
        </w:tc>
        <w:tc>
          <w:tcPr>
            <w:tcW w:w="2407" w:type="dxa"/>
          </w:tcPr>
          <w:p w:rsidR="00124A43" w:rsidRDefault="00124A43" w:rsidP="00124A43">
            <w:pPr>
              <w:pStyle w:val="Default"/>
              <w:rPr>
                <w:sz w:val="20"/>
                <w:szCs w:val="20"/>
              </w:rPr>
            </w:pPr>
            <w:r>
              <w:rPr>
                <w:sz w:val="20"/>
                <w:szCs w:val="20"/>
              </w:rPr>
              <w:t xml:space="preserve">4-5 </w:t>
            </w:r>
          </w:p>
        </w:tc>
        <w:tc>
          <w:tcPr>
            <w:tcW w:w="2407" w:type="dxa"/>
          </w:tcPr>
          <w:p w:rsidR="00124A43" w:rsidRDefault="00124A43" w:rsidP="00124A43">
            <w:pPr>
              <w:pStyle w:val="Default"/>
              <w:rPr>
                <w:sz w:val="20"/>
                <w:szCs w:val="20"/>
              </w:rPr>
            </w:pPr>
            <w:r>
              <w:rPr>
                <w:sz w:val="20"/>
                <w:szCs w:val="20"/>
              </w:rPr>
              <w:t xml:space="preserve">4-5 </w:t>
            </w:r>
          </w:p>
        </w:tc>
        <w:tc>
          <w:tcPr>
            <w:tcW w:w="2407" w:type="dxa"/>
          </w:tcPr>
          <w:p w:rsidR="00124A43" w:rsidRDefault="00124A43" w:rsidP="00124A43">
            <w:pPr>
              <w:pStyle w:val="Default"/>
              <w:rPr>
                <w:sz w:val="20"/>
                <w:szCs w:val="20"/>
              </w:rPr>
            </w:pPr>
            <w:r>
              <w:rPr>
                <w:sz w:val="20"/>
                <w:szCs w:val="20"/>
              </w:rPr>
              <w:t xml:space="preserve">5-6 </w:t>
            </w:r>
          </w:p>
        </w:tc>
      </w:tr>
      <w:tr w:rsidR="00124A43" w:rsidTr="00124A43">
        <w:tc>
          <w:tcPr>
            <w:tcW w:w="2407" w:type="dxa"/>
          </w:tcPr>
          <w:p w:rsidR="00124A43" w:rsidRDefault="00124A43" w:rsidP="00124A43">
            <w:pPr>
              <w:pStyle w:val="Default"/>
              <w:rPr>
                <w:sz w:val="20"/>
                <w:szCs w:val="20"/>
              </w:rPr>
            </w:pPr>
            <w:r>
              <w:rPr>
                <w:sz w:val="20"/>
                <w:szCs w:val="20"/>
              </w:rPr>
              <w:t xml:space="preserve">7 &lt; M ≤ 8 </w:t>
            </w:r>
          </w:p>
        </w:tc>
        <w:tc>
          <w:tcPr>
            <w:tcW w:w="2407" w:type="dxa"/>
          </w:tcPr>
          <w:p w:rsidR="00124A43" w:rsidRDefault="00124A43" w:rsidP="00124A43">
            <w:pPr>
              <w:pStyle w:val="Default"/>
              <w:rPr>
                <w:sz w:val="20"/>
                <w:szCs w:val="20"/>
              </w:rPr>
            </w:pPr>
            <w:r>
              <w:rPr>
                <w:sz w:val="20"/>
                <w:szCs w:val="20"/>
              </w:rPr>
              <w:t xml:space="preserve">5-6 </w:t>
            </w:r>
          </w:p>
        </w:tc>
        <w:tc>
          <w:tcPr>
            <w:tcW w:w="2407" w:type="dxa"/>
          </w:tcPr>
          <w:p w:rsidR="00124A43" w:rsidRDefault="00124A43" w:rsidP="00124A43">
            <w:pPr>
              <w:pStyle w:val="Default"/>
              <w:rPr>
                <w:sz w:val="20"/>
                <w:szCs w:val="20"/>
              </w:rPr>
            </w:pPr>
            <w:r>
              <w:rPr>
                <w:sz w:val="20"/>
                <w:szCs w:val="20"/>
              </w:rPr>
              <w:t xml:space="preserve">5-6 </w:t>
            </w:r>
          </w:p>
        </w:tc>
        <w:tc>
          <w:tcPr>
            <w:tcW w:w="2407" w:type="dxa"/>
          </w:tcPr>
          <w:p w:rsidR="00124A43" w:rsidRDefault="00124A43" w:rsidP="00124A43">
            <w:pPr>
              <w:pStyle w:val="Default"/>
              <w:rPr>
                <w:sz w:val="20"/>
                <w:szCs w:val="20"/>
              </w:rPr>
            </w:pPr>
            <w:r>
              <w:rPr>
                <w:sz w:val="20"/>
                <w:szCs w:val="20"/>
              </w:rPr>
              <w:t xml:space="preserve">6-7 </w:t>
            </w:r>
          </w:p>
        </w:tc>
      </w:tr>
      <w:tr w:rsidR="00124A43" w:rsidTr="00124A43">
        <w:tc>
          <w:tcPr>
            <w:tcW w:w="2407" w:type="dxa"/>
          </w:tcPr>
          <w:p w:rsidR="00124A43" w:rsidRDefault="00124A43" w:rsidP="00124A43">
            <w:pPr>
              <w:pStyle w:val="Default"/>
              <w:rPr>
                <w:sz w:val="20"/>
                <w:szCs w:val="20"/>
              </w:rPr>
            </w:pPr>
            <w:r>
              <w:rPr>
                <w:sz w:val="20"/>
                <w:szCs w:val="20"/>
              </w:rPr>
              <w:t xml:space="preserve">8 &lt; M ≤ 9 </w:t>
            </w:r>
          </w:p>
        </w:tc>
        <w:tc>
          <w:tcPr>
            <w:tcW w:w="2407" w:type="dxa"/>
          </w:tcPr>
          <w:p w:rsidR="00124A43" w:rsidRDefault="00124A43" w:rsidP="00124A43">
            <w:pPr>
              <w:pStyle w:val="Default"/>
              <w:rPr>
                <w:sz w:val="20"/>
                <w:szCs w:val="20"/>
              </w:rPr>
            </w:pPr>
            <w:r>
              <w:rPr>
                <w:sz w:val="20"/>
                <w:szCs w:val="20"/>
              </w:rPr>
              <w:t xml:space="preserve">6-7 </w:t>
            </w:r>
          </w:p>
        </w:tc>
        <w:tc>
          <w:tcPr>
            <w:tcW w:w="2407" w:type="dxa"/>
          </w:tcPr>
          <w:p w:rsidR="00124A43" w:rsidRDefault="00124A43" w:rsidP="00124A43">
            <w:pPr>
              <w:pStyle w:val="Default"/>
              <w:rPr>
                <w:sz w:val="20"/>
                <w:szCs w:val="20"/>
              </w:rPr>
            </w:pPr>
            <w:r>
              <w:rPr>
                <w:sz w:val="20"/>
                <w:szCs w:val="20"/>
              </w:rPr>
              <w:t xml:space="preserve">6-7 </w:t>
            </w:r>
          </w:p>
        </w:tc>
        <w:tc>
          <w:tcPr>
            <w:tcW w:w="2407" w:type="dxa"/>
          </w:tcPr>
          <w:p w:rsidR="00124A43" w:rsidRDefault="00124A43" w:rsidP="00124A43">
            <w:pPr>
              <w:pStyle w:val="Default"/>
              <w:rPr>
                <w:sz w:val="20"/>
                <w:szCs w:val="20"/>
              </w:rPr>
            </w:pPr>
            <w:r>
              <w:rPr>
                <w:sz w:val="20"/>
                <w:szCs w:val="20"/>
              </w:rPr>
              <w:t xml:space="preserve">7-8 </w:t>
            </w:r>
          </w:p>
        </w:tc>
      </w:tr>
      <w:tr w:rsidR="00124A43" w:rsidTr="00124A43">
        <w:tc>
          <w:tcPr>
            <w:tcW w:w="2407" w:type="dxa"/>
          </w:tcPr>
          <w:p w:rsidR="00124A43" w:rsidRDefault="00124A43" w:rsidP="00124A43">
            <w:pPr>
              <w:pStyle w:val="Default"/>
              <w:rPr>
                <w:sz w:val="20"/>
                <w:szCs w:val="20"/>
              </w:rPr>
            </w:pPr>
            <w:r>
              <w:rPr>
                <w:sz w:val="20"/>
                <w:szCs w:val="20"/>
              </w:rPr>
              <w:t xml:space="preserve">9 &lt; M ≤ 10 </w:t>
            </w:r>
          </w:p>
        </w:tc>
        <w:tc>
          <w:tcPr>
            <w:tcW w:w="2407" w:type="dxa"/>
          </w:tcPr>
          <w:p w:rsidR="00124A43" w:rsidRDefault="00124A43" w:rsidP="00124A43">
            <w:pPr>
              <w:pStyle w:val="Default"/>
              <w:rPr>
                <w:sz w:val="20"/>
                <w:szCs w:val="20"/>
              </w:rPr>
            </w:pPr>
            <w:r>
              <w:rPr>
                <w:sz w:val="20"/>
                <w:szCs w:val="20"/>
              </w:rPr>
              <w:t xml:space="preserve">7-8 </w:t>
            </w:r>
          </w:p>
        </w:tc>
        <w:tc>
          <w:tcPr>
            <w:tcW w:w="2407" w:type="dxa"/>
          </w:tcPr>
          <w:p w:rsidR="00124A43" w:rsidRDefault="00124A43" w:rsidP="00124A43">
            <w:pPr>
              <w:pStyle w:val="Default"/>
              <w:rPr>
                <w:sz w:val="20"/>
                <w:szCs w:val="20"/>
              </w:rPr>
            </w:pPr>
            <w:r>
              <w:rPr>
                <w:sz w:val="20"/>
                <w:szCs w:val="20"/>
              </w:rPr>
              <w:t xml:space="preserve">7-8 </w:t>
            </w:r>
          </w:p>
        </w:tc>
        <w:tc>
          <w:tcPr>
            <w:tcW w:w="2407" w:type="dxa"/>
          </w:tcPr>
          <w:p w:rsidR="00124A43" w:rsidRDefault="00124A43" w:rsidP="00124A43">
            <w:pPr>
              <w:pStyle w:val="Default"/>
              <w:rPr>
                <w:sz w:val="20"/>
                <w:szCs w:val="20"/>
              </w:rPr>
            </w:pPr>
            <w:r>
              <w:rPr>
                <w:sz w:val="20"/>
                <w:szCs w:val="20"/>
              </w:rPr>
              <w:t xml:space="preserve">8-9 </w:t>
            </w:r>
          </w:p>
        </w:tc>
      </w:tr>
    </w:tbl>
    <w:p w:rsidR="00124A43" w:rsidRDefault="00124A43" w:rsidP="00B400B0">
      <w:pPr>
        <w:pStyle w:val="Default"/>
        <w:rPr>
          <w:sz w:val="22"/>
          <w:szCs w:val="22"/>
        </w:rPr>
      </w:pPr>
    </w:p>
    <w:tbl>
      <w:tblPr>
        <w:tblW w:w="14015" w:type="dxa"/>
        <w:tblInd w:w="-108" w:type="dxa"/>
        <w:tblBorders>
          <w:top w:val="nil"/>
          <w:left w:val="nil"/>
          <w:bottom w:val="nil"/>
          <w:right w:val="nil"/>
        </w:tblBorders>
        <w:tblLayout w:type="fixed"/>
        <w:tblLook w:val="0000" w:firstRow="0" w:lastRow="0" w:firstColumn="0" w:lastColumn="0" w:noHBand="0" w:noVBand="0"/>
      </w:tblPr>
      <w:tblGrid>
        <w:gridCol w:w="10598"/>
        <w:gridCol w:w="1139"/>
        <w:gridCol w:w="1139"/>
        <w:gridCol w:w="1139"/>
      </w:tblGrid>
      <w:tr w:rsidR="00B400B0" w:rsidTr="00124A43">
        <w:trPr>
          <w:trHeight w:val="99"/>
        </w:trPr>
        <w:tc>
          <w:tcPr>
            <w:tcW w:w="10598" w:type="dxa"/>
          </w:tcPr>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b/>
                <w:bCs/>
                <w:i/>
                <w:iCs/>
                <w:sz w:val="22"/>
                <w:szCs w:val="22"/>
              </w:rPr>
            </w:pPr>
          </w:p>
          <w:p w:rsidR="00124A43" w:rsidRDefault="00124A43" w:rsidP="00124A43">
            <w:pPr>
              <w:pStyle w:val="Default"/>
              <w:rPr>
                <w:sz w:val="22"/>
                <w:szCs w:val="22"/>
              </w:rPr>
            </w:pPr>
            <w:r>
              <w:rPr>
                <w:b/>
                <w:bCs/>
                <w:i/>
                <w:iCs/>
                <w:sz w:val="22"/>
                <w:szCs w:val="22"/>
              </w:rPr>
              <w:lastRenderedPageBreak/>
              <w:t xml:space="preserve">Criteri per l’assegnazione del punteggio superiore al minimo della banda </w:t>
            </w:r>
          </w:p>
          <w:p w:rsidR="00124A43" w:rsidRDefault="00124A43" w:rsidP="00124A43">
            <w:pPr>
              <w:pStyle w:val="Default"/>
              <w:jc w:val="both"/>
              <w:rPr>
                <w:sz w:val="22"/>
                <w:szCs w:val="22"/>
              </w:rPr>
            </w:pPr>
            <w:r>
              <w:rPr>
                <w:rFonts w:ascii="Times New Roman" w:hAnsi="Times New Roman" w:cs="Times New Roman"/>
                <w:sz w:val="20"/>
                <w:szCs w:val="20"/>
              </w:rPr>
              <w:t xml:space="preserve">Il </w:t>
            </w:r>
            <w:r>
              <w:rPr>
                <w:sz w:val="22"/>
                <w:szCs w:val="22"/>
              </w:rPr>
              <w:t xml:space="preserve">Consiglio di classe potrà attribuire il punteggio superiore, del minimo della banda di oscillazione individuata dalla media M, in presenza di almeno una delle seguenti situazioni (delibera del collegio docenti 19/02/13): </w:t>
            </w:r>
          </w:p>
          <w:p w:rsidR="00124A43" w:rsidRDefault="00124A43" w:rsidP="00124A43">
            <w:pPr>
              <w:pStyle w:val="Default"/>
              <w:numPr>
                <w:ilvl w:val="0"/>
                <w:numId w:val="2"/>
              </w:numPr>
              <w:spacing w:after="68"/>
              <w:jc w:val="both"/>
              <w:rPr>
                <w:sz w:val="22"/>
                <w:szCs w:val="22"/>
              </w:rPr>
            </w:pPr>
            <w:r>
              <w:rPr>
                <w:sz w:val="22"/>
                <w:szCs w:val="22"/>
              </w:rPr>
              <w:t xml:space="preserve">media aritmetica, nella parte decimale, superiore o uguale a 0,5; </w:t>
            </w:r>
          </w:p>
          <w:p w:rsidR="00124A43" w:rsidRDefault="00124A43" w:rsidP="00124A43">
            <w:pPr>
              <w:pStyle w:val="Default"/>
              <w:numPr>
                <w:ilvl w:val="0"/>
                <w:numId w:val="2"/>
              </w:numPr>
              <w:spacing w:after="68"/>
              <w:jc w:val="both"/>
              <w:rPr>
                <w:sz w:val="22"/>
                <w:szCs w:val="22"/>
              </w:rPr>
            </w:pPr>
            <w:r w:rsidRPr="00124A43">
              <w:rPr>
                <w:sz w:val="22"/>
                <w:szCs w:val="22"/>
              </w:rPr>
              <w:t xml:space="preserve"> assiduità della frequenza scolastica, l’interesse e l’impegno nella partecipazione al dialogo educativo e alle attività complementari ed integrative (es. laboratorio teatrale) </w:t>
            </w:r>
          </w:p>
          <w:p w:rsidR="00124A43" w:rsidRDefault="00124A43" w:rsidP="00124A43">
            <w:pPr>
              <w:pStyle w:val="Default"/>
              <w:numPr>
                <w:ilvl w:val="0"/>
                <w:numId w:val="2"/>
              </w:numPr>
              <w:spacing w:after="68"/>
              <w:jc w:val="both"/>
              <w:rPr>
                <w:sz w:val="22"/>
                <w:szCs w:val="22"/>
              </w:rPr>
            </w:pPr>
            <w:r w:rsidRPr="00124A43">
              <w:rPr>
                <w:sz w:val="22"/>
                <w:szCs w:val="22"/>
              </w:rPr>
              <w:t xml:space="preserve"> interesse con il quale l’alunno ha seguito l’insegnamento della religione cattolica ovvero l’attività alternativa e il profitto che ne ha tratto, </w:t>
            </w:r>
          </w:p>
          <w:p w:rsidR="00124A43" w:rsidRDefault="00124A43" w:rsidP="00124A43">
            <w:pPr>
              <w:pStyle w:val="Default"/>
              <w:numPr>
                <w:ilvl w:val="0"/>
                <w:numId w:val="2"/>
              </w:numPr>
              <w:spacing w:after="68"/>
              <w:jc w:val="both"/>
              <w:rPr>
                <w:sz w:val="22"/>
                <w:szCs w:val="22"/>
              </w:rPr>
            </w:pPr>
            <w:r w:rsidRPr="00124A43">
              <w:rPr>
                <w:sz w:val="22"/>
                <w:szCs w:val="22"/>
              </w:rPr>
              <w:t xml:space="preserve">altre attività, ivi compreso lo studio individuale che si sia tradotto in un arricchimento culturale o disciplinare specifico, purché certificato. </w:t>
            </w:r>
          </w:p>
          <w:p w:rsidR="00124A43" w:rsidRPr="00124A43" w:rsidRDefault="00124A43" w:rsidP="00124A43">
            <w:pPr>
              <w:pStyle w:val="Default"/>
              <w:numPr>
                <w:ilvl w:val="0"/>
                <w:numId w:val="2"/>
              </w:numPr>
              <w:spacing w:after="68"/>
              <w:jc w:val="both"/>
              <w:rPr>
                <w:sz w:val="22"/>
                <w:szCs w:val="22"/>
              </w:rPr>
            </w:pPr>
            <w:r w:rsidRPr="00124A43">
              <w:rPr>
                <w:sz w:val="22"/>
                <w:szCs w:val="22"/>
              </w:rPr>
              <w:t xml:space="preserve">crediti formativi, valutati positivamente deliberati dal collegio dei docenti e valutati dal consiglio di classe di appartenenza (vedi i criteri per l’attribuzione dei crediti formativi). </w:t>
            </w:r>
          </w:p>
          <w:p w:rsidR="00124A43" w:rsidRDefault="00124A43" w:rsidP="00124A43">
            <w:pPr>
              <w:pStyle w:val="Default"/>
              <w:jc w:val="both"/>
              <w:rPr>
                <w:sz w:val="22"/>
                <w:szCs w:val="22"/>
              </w:rPr>
            </w:pPr>
            <w:r>
              <w:rPr>
                <w:b/>
                <w:bCs/>
                <w:i/>
                <w:iCs/>
                <w:sz w:val="22"/>
                <w:szCs w:val="22"/>
              </w:rPr>
              <w:t>4.9 Criteri per l’attribuzione dei crediti formativi</w:t>
            </w:r>
          </w:p>
          <w:p w:rsidR="00124A43" w:rsidRDefault="00124A43" w:rsidP="00124A43">
            <w:pPr>
              <w:pStyle w:val="Default"/>
              <w:rPr>
                <w:sz w:val="22"/>
                <w:szCs w:val="22"/>
              </w:rPr>
            </w:pPr>
            <w:r>
              <w:rPr>
                <w:sz w:val="22"/>
                <w:szCs w:val="22"/>
              </w:rPr>
              <w:t xml:space="preserve">L’integrazione del punteggio rispetto al minimo della banda di oscillazione è decretato ad insindacabile giudizio del Consiglio di Classe sulla base di una motivazione espressa e non può comunque superare la banda di oscillazione stessa salvo quanto previsto dal DPR n. 323/1998 art. 11 c. 4 per le classi quinte. I criteri per la valutazione dei Crediti Formativi a norma, dell’art.1, c.1, del D.M.49/00, si basano sulla valutazione delle esperienze che danno luogo all’acquisizione di crediti formativi. Esse si svolgono al di fuori della scuola di appartenenza, in ambiti e settori della società civile legati alla formazione della persona e alla crescita umana, civile e culturale. Il Collegio dei docenti ha stabilito gli ambiti specifici in cui possono essere acquisiti i crediti formativi: </w:t>
            </w:r>
          </w:p>
          <w:p w:rsidR="00124A43" w:rsidRDefault="00124A43" w:rsidP="00124A43">
            <w:pPr>
              <w:pStyle w:val="Default"/>
              <w:spacing w:after="68"/>
              <w:rPr>
                <w:sz w:val="22"/>
                <w:szCs w:val="22"/>
              </w:rPr>
            </w:pPr>
            <w:r>
              <w:rPr>
                <w:sz w:val="22"/>
                <w:szCs w:val="22"/>
              </w:rPr>
              <w:t xml:space="preserve"> Attività culturali (conseguimento di certificazione linguistica, corsi di studio all’estero, conseguimento patente europea ECDL) </w:t>
            </w:r>
          </w:p>
          <w:p w:rsidR="00124A43" w:rsidRDefault="00124A43" w:rsidP="00124A43">
            <w:pPr>
              <w:pStyle w:val="Default"/>
              <w:spacing w:after="68"/>
              <w:rPr>
                <w:sz w:val="22"/>
                <w:szCs w:val="22"/>
              </w:rPr>
            </w:pPr>
            <w:r>
              <w:rPr>
                <w:sz w:val="22"/>
                <w:szCs w:val="22"/>
              </w:rPr>
              <w:t xml:space="preserve"> Attività artistiche </w:t>
            </w:r>
          </w:p>
          <w:p w:rsidR="00124A43" w:rsidRDefault="00124A43" w:rsidP="00124A43">
            <w:pPr>
              <w:pStyle w:val="Default"/>
              <w:spacing w:after="68"/>
              <w:rPr>
                <w:sz w:val="22"/>
                <w:szCs w:val="22"/>
              </w:rPr>
            </w:pPr>
            <w:r>
              <w:rPr>
                <w:sz w:val="22"/>
                <w:szCs w:val="22"/>
              </w:rPr>
              <w:t xml:space="preserve"> Attività ricreative </w:t>
            </w:r>
          </w:p>
          <w:p w:rsidR="00124A43" w:rsidRDefault="00124A43" w:rsidP="00124A43">
            <w:pPr>
              <w:pStyle w:val="Default"/>
              <w:rPr>
                <w:sz w:val="22"/>
                <w:szCs w:val="22"/>
              </w:rPr>
            </w:pPr>
            <w:r>
              <w:rPr>
                <w:sz w:val="22"/>
                <w:szCs w:val="22"/>
              </w:rPr>
              <w:t xml:space="preserve"> Ambiente - Volontariato - Solidarietà – Cooperazione – Sport </w:t>
            </w:r>
          </w:p>
          <w:p w:rsidR="00124A43" w:rsidRDefault="00124A43" w:rsidP="00124A43">
            <w:pPr>
              <w:pStyle w:val="Default"/>
              <w:rPr>
                <w:sz w:val="22"/>
                <w:szCs w:val="22"/>
              </w:rPr>
            </w:pPr>
          </w:p>
          <w:p w:rsidR="00124A43" w:rsidRDefault="00124A43" w:rsidP="00124A43">
            <w:pPr>
              <w:pStyle w:val="Default"/>
              <w:rPr>
                <w:rFonts w:ascii="Times New Roman" w:hAnsi="Times New Roman" w:cs="Times New Roman"/>
                <w:sz w:val="22"/>
                <w:szCs w:val="22"/>
              </w:rPr>
            </w:pPr>
            <w:r>
              <w:rPr>
                <w:sz w:val="22"/>
                <w:szCs w:val="22"/>
              </w:rPr>
              <w:t>La documentazione relativa ai crediti formativi deve pervenire all'istituto entro il 15 maggio per consentirne l'esame e la valutazione da parte degli organi competenti. È ammessa l'autocertificazione, ai sensi e con le modalità di cui al D.P.R. n. 445/2000, come modificato dall’articolo 15, comma 1, della legge 12 novembre 2011, n.183, nei casi di attività svolte presso pubbliche amministrazioni, mentre per le attività svolte presso altri enti è necessaria un’attestazione contenente</w:t>
            </w:r>
            <w:r>
              <w:rPr>
                <w:rFonts w:ascii="Times New Roman" w:hAnsi="Times New Roman" w:cs="Times New Roman"/>
                <w:sz w:val="22"/>
                <w:szCs w:val="22"/>
              </w:rPr>
              <w:t xml:space="preserve">: </w:t>
            </w:r>
          </w:p>
          <w:p w:rsidR="00124A43" w:rsidRDefault="00124A43" w:rsidP="00124A43">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I dati indispensabili per riconoscere l’ente certificatore e una breve descrizione dell’esperienza; </w:t>
            </w:r>
          </w:p>
          <w:p w:rsidR="00124A43" w:rsidRDefault="00124A43" w:rsidP="00124A43">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Il tempo impegnato (minimo 30 ore) nell’esperienza e i risultati conseguiti; </w:t>
            </w:r>
          </w:p>
          <w:p w:rsidR="00124A43" w:rsidRDefault="00124A43" w:rsidP="00124A43">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Il timbro dell’ente e la firma del responsabile in originale. </w:t>
            </w:r>
          </w:p>
          <w:p w:rsidR="00124A43" w:rsidRDefault="00124A43" w:rsidP="00124A43">
            <w:pPr>
              <w:pStyle w:val="Default"/>
              <w:rPr>
                <w:sz w:val="22"/>
                <w:szCs w:val="22"/>
              </w:rPr>
            </w:pPr>
          </w:p>
          <w:p w:rsidR="00B400B0" w:rsidRDefault="00124A43" w:rsidP="00124A43">
            <w:pPr>
              <w:pStyle w:val="Default"/>
              <w:jc w:val="both"/>
              <w:rPr>
                <w:sz w:val="22"/>
                <w:szCs w:val="22"/>
              </w:rPr>
            </w:pPr>
            <w:r>
              <w:rPr>
                <w:sz w:val="22"/>
                <w:szCs w:val="22"/>
              </w:rPr>
              <w:t>Spetta al Consiglio di Classe il compito di riconoscere o meno il credito formativo, valutando il valore qualitativo dell’esperienza rispetto alla formazione personale, civile e sociale dello studente anche in coerenza con il tipo di corso cui si riferisce l’Esame di Stato.</w:t>
            </w:r>
          </w:p>
          <w:p w:rsidR="00124A43" w:rsidRDefault="00124A43" w:rsidP="00124A43">
            <w:pPr>
              <w:pStyle w:val="Default"/>
              <w:jc w:val="both"/>
              <w:rPr>
                <w:sz w:val="22"/>
                <w:szCs w:val="22"/>
              </w:rPr>
            </w:pPr>
          </w:p>
          <w:p w:rsidR="00124A43" w:rsidRDefault="00124A43" w:rsidP="00124A43">
            <w:pPr>
              <w:pStyle w:val="Default"/>
              <w:jc w:val="both"/>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r w:rsidR="00B400B0" w:rsidTr="00124A43">
        <w:trPr>
          <w:trHeight w:val="99"/>
        </w:trPr>
        <w:tc>
          <w:tcPr>
            <w:tcW w:w="10598"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r w:rsidR="00B400B0" w:rsidTr="00124A43">
        <w:trPr>
          <w:trHeight w:val="99"/>
        </w:trPr>
        <w:tc>
          <w:tcPr>
            <w:tcW w:w="10598"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r w:rsidR="00B400B0" w:rsidTr="00124A43">
        <w:trPr>
          <w:trHeight w:val="99"/>
        </w:trPr>
        <w:tc>
          <w:tcPr>
            <w:tcW w:w="10598"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r w:rsidR="00B400B0" w:rsidTr="00124A43">
        <w:trPr>
          <w:trHeight w:val="99"/>
        </w:trPr>
        <w:tc>
          <w:tcPr>
            <w:tcW w:w="10598"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r w:rsidR="00B400B0" w:rsidTr="00124A43">
        <w:trPr>
          <w:trHeight w:val="99"/>
        </w:trPr>
        <w:tc>
          <w:tcPr>
            <w:tcW w:w="10598"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c>
          <w:tcPr>
            <w:tcW w:w="1139" w:type="dxa"/>
          </w:tcPr>
          <w:p w:rsidR="00B400B0" w:rsidRDefault="00B400B0">
            <w:pPr>
              <w:pStyle w:val="Default"/>
              <w:rPr>
                <w:sz w:val="20"/>
                <w:szCs w:val="20"/>
              </w:rPr>
            </w:pPr>
          </w:p>
        </w:tc>
      </w:tr>
    </w:tbl>
    <w:p w:rsidR="00C400BF" w:rsidRPr="00B400B0" w:rsidRDefault="00C400BF" w:rsidP="00B400B0"/>
    <w:sectPr w:rsidR="00C400BF" w:rsidRPr="00B400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5A42"/>
    <w:multiLevelType w:val="hybridMultilevel"/>
    <w:tmpl w:val="BECAD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78096E"/>
    <w:multiLevelType w:val="hybridMultilevel"/>
    <w:tmpl w:val="DC60C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fqRA2kgMBJcWRJ/dMZG4CQUgRR5MNIAw+09AIswMNZBFyTf2n++kB2sKJqGJHby9IunuUIvkbDjOMcMtdy5hA==" w:salt="RmR/3W4gRmgt88jIrxpnL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B0"/>
    <w:rsid w:val="00124A43"/>
    <w:rsid w:val="001D6852"/>
    <w:rsid w:val="003A1958"/>
    <w:rsid w:val="003E6F82"/>
    <w:rsid w:val="00507469"/>
    <w:rsid w:val="00B400B0"/>
    <w:rsid w:val="00B7084D"/>
    <w:rsid w:val="00C400BF"/>
    <w:rsid w:val="00D15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1F055-9231-489A-8EFB-ABE22D13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00B0"/>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B400B0"/>
    <w:pPr>
      <w:ind w:left="720"/>
      <w:contextualSpacing/>
    </w:pPr>
  </w:style>
  <w:style w:type="table" w:styleId="Grigliatabella">
    <w:name w:val="Table Grid"/>
    <w:basedOn w:val="Tabellanormale"/>
    <w:uiPriority w:val="39"/>
    <w:rsid w:val="0012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772</Words>
  <Characters>4402</Characters>
  <Application>Microsoft Office Word</Application>
  <DocSecurity>8</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sciortino</dc:creator>
  <cp:keywords/>
  <dc:description/>
  <cp:lastModifiedBy>Utente Windows</cp:lastModifiedBy>
  <cp:revision>4</cp:revision>
  <dcterms:created xsi:type="dcterms:W3CDTF">2017-11-29T12:04:00Z</dcterms:created>
  <dcterms:modified xsi:type="dcterms:W3CDTF">2018-04-14T10:28:00Z</dcterms:modified>
</cp:coreProperties>
</file>