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8C7" w:rsidRDefault="001638C7" w:rsidP="001638C7">
      <w:pPr>
        <w:pStyle w:val="Default"/>
        <w:rPr>
          <w:b/>
          <w:bCs/>
          <w:i/>
          <w:iCs/>
          <w:sz w:val="22"/>
          <w:szCs w:val="22"/>
        </w:rPr>
      </w:pPr>
      <w:bookmarkStart w:id="0" w:name="_GoBack"/>
      <w:bookmarkEnd w:id="0"/>
      <w:permStart w:id="565187091" w:edGrp="everyone"/>
      <w:permEnd w:id="565187091"/>
      <w:r>
        <w:rPr>
          <w:b/>
          <w:bCs/>
          <w:i/>
          <w:iCs/>
          <w:sz w:val="22"/>
          <w:szCs w:val="22"/>
        </w:rPr>
        <w:t xml:space="preserve"> Ammissione o non ammissione –</w:t>
      </w:r>
    </w:p>
    <w:p w:rsidR="001638C7" w:rsidRDefault="001638C7" w:rsidP="001638C7">
      <w:pPr>
        <w:pStyle w:val="Default"/>
        <w:rPr>
          <w:sz w:val="22"/>
          <w:szCs w:val="22"/>
        </w:rPr>
      </w:pPr>
      <w:r>
        <w:rPr>
          <w:b/>
          <w:bCs/>
          <w:i/>
          <w:iCs/>
          <w:sz w:val="22"/>
          <w:szCs w:val="22"/>
        </w:rPr>
        <w:t xml:space="preserve"> Criteri per l’ammissione alla classe successiva </w:t>
      </w:r>
    </w:p>
    <w:p w:rsidR="001638C7" w:rsidRDefault="001638C7" w:rsidP="001638C7">
      <w:pPr>
        <w:pStyle w:val="Default"/>
        <w:jc w:val="both"/>
        <w:rPr>
          <w:sz w:val="22"/>
          <w:szCs w:val="22"/>
        </w:rPr>
      </w:pPr>
      <w:r>
        <w:rPr>
          <w:sz w:val="22"/>
          <w:szCs w:val="22"/>
        </w:rPr>
        <w:t xml:space="preserve">L’ammissione alla classe successiva avviene a fronte di un profitto di sufficienza in tutte le materie. Il Collegio dei docenti ha stabilito che i Consigli di classe procedono a decretare la </w:t>
      </w:r>
      <w:r>
        <w:rPr>
          <w:i/>
          <w:iCs/>
          <w:sz w:val="22"/>
          <w:szCs w:val="22"/>
        </w:rPr>
        <w:t xml:space="preserve">NON AMMISSIONE ALLA CLASSE SUCCESSIVA nei seguenti casi: </w:t>
      </w:r>
    </w:p>
    <w:p w:rsidR="001638C7" w:rsidRDefault="001638C7" w:rsidP="001638C7">
      <w:pPr>
        <w:pStyle w:val="Default"/>
        <w:numPr>
          <w:ilvl w:val="0"/>
          <w:numId w:val="1"/>
        </w:numPr>
        <w:jc w:val="both"/>
        <w:rPr>
          <w:sz w:val="22"/>
          <w:szCs w:val="22"/>
        </w:rPr>
      </w:pPr>
      <w:r>
        <w:rPr>
          <w:i/>
          <w:iCs/>
          <w:sz w:val="22"/>
          <w:szCs w:val="22"/>
        </w:rPr>
        <w:t xml:space="preserve">Da 5 materie insufficienti indipendentemente dalla gravità </w:t>
      </w:r>
    </w:p>
    <w:p w:rsidR="001638C7" w:rsidRDefault="001638C7" w:rsidP="001638C7">
      <w:pPr>
        <w:pStyle w:val="Default"/>
        <w:numPr>
          <w:ilvl w:val="0"/>
          <w:numId w:val="1"/>
        </w:numPr>
        <w:jc w:val="both"/>
        <w:rPr>
          <w:sz w:val="22"/>
          <w:szCs w:val="22"/>
        </w:rPr>
      </w:pPr>
      <w:r w:rsidRPr="001638C7">
        <w:rPr>
          <w:i/>
          <w:iCs/>
          <w:sz w:val="22"/>
          <w:szCs w:val="22"/>
        </w:rPr>
        <w:t xml:space="preserve">Da 4 materie insufficienti di cui almeno 2 gravi </w:t>
      </w:r>
    </w:p>
    <w:p w:rsidR="001638C7" w:rsidRPr="001638C7" w:rsidRDefault="001638C7" w:rsidP="001638C7">
      <w:pPr>
        <w:pStyle w:val="Default"/>
        <w:numPr>
          <w:ilvl w:val="0"/>
          <w:numId w:val="1"/>
        </w:numPr>
        <w:jc w:val="both"/>
        <w:rPr>
          <w:sz w:val="22"/>
          <w:szCs w:val="22"/>
        </w:rPr>
      </w:pPr>
      <w:r w:rsidRPr="001638C7">
        <w:rPr>
          <w:i/>
          <w:iCs/>
          <w:sz w:val="22"/>
          <w:szCs w:val="22"/>
        </w:rPr>
        <w:t xml:space="preserve">Da 3 materie gravemente insufficienti </w:t>
      </w:r>
    </w:p>
    <w:p w:rsidR="001638C7" w:rsidRDefault="001638C7" w:rsidP="001638C7">
      <w:pPr>
        <w:pStyle w:val="Default"/>
        <w:jc w:val="both"/>
        <w:rPr>
          <w:sz w:val="22"/>
          <w:szCs w:val="22"/>
        </w:rPr>
      </w:pPr>
      <w:r>
        <w:rPr>
          <w:sz w:val="22"/>
          <w:szCs w:val="22"/>
        </w:rPr>
        <w:t xml:space="preserve">Qualora a fine anno scolastico si riscontrassero, nella preparazione degli alunni, carenze disciplinari che non pregiudichino la promozione all’anno successivo, si determina un debito formativo rilevato dai docenti in sede di scrutinio finale nel caso lo studente presenti </w:t>
      </w:r>
      <w:r>
        <w:rPr>
          <w:i/>
          <w:iCs/>
          <w:sz w:val="22"/>
          <w:szCs w:val="22"/>
        </w:rPr>
        <w:t>tre materie insufficienti (di cui due possono essere gravi)</w:t>
      </w:r>
      <w:r>
        <w:rPr>
          <w:sz w:val="22"/>
          <w:szCs w:val="22"/>
        </w:rPr>
        <w:t xml:space="preserve">. È prevista un’attenta discussione nel caso in cui gli studenti presentino: </w:t>
      </w:r>
    </w:p>
    <w:p w:rsidR="001638C7" w:rsidRDefault="001638C7" w:rsidP="001638C7">
      <w:pPr>
        <w:pStyle w:val="Default"/>
        <w:numPr>
          <w:ilvl w:val="0"/>
          <w:numId w:val="3"/>
        </w:numPr>
        <w:rPr>
          <w:i/>
          <w:iCs/>
          <w:sz w:val="22"/>
          <w:szCs w:val="22"/>
        </w:rPr>
      </w:pPr>
      <w:r>
        <w:rPr>
          <w:i/>
          <w:iCs/>
          <w:sz w:val="22"/>
          <w:szCs w:val="22"/>
        </w:rPr>
        <w:t>4 materie con insufficienza non grave</w:t>
      </w:r>
    </w:p>
    <w:p w:rsidR="001638C7" w:rsidRPr="001638C7" w:rsidRDefault="001638C7" w:rsidP="001638C7">
      <w:pPr>
        <w:pStyle w:val="Default"/>
        <w:numPr>
          <w:ilvl w:val="0"/>
          <w:numId w:val="3"/>
        </w:numPr>
        <w:rPr>
          <w:i/>
          <w:iCs/>
          <w:sz w:val="22"/>
          <w:szCs w:val="22"/>
        </w:rPr>
      </w:pPr>
      <w:r w:rsidRPr="001638C7">
        <w:rPr>
          <w:i/>
          <w:iCs/>
          <w:sz w:val="22"/>
          <w:szCs w:val="22"/>
        </w:rPr>
        <w:t xml:space="preserve"> 4 materie con una sola insufficienza grave</w:t>
      </w:r>
    </w:p>
    <w:tbl>
      <w:tblPr>
        <w:tblStyle w:val="Grigliatabella"/>
        <w:tblW w:w="0" w:type="auto"/>
        <w:tblInd w:w="720" w:type="dxa"/>
        <w:tblLook w:val="04A0" w:firstRow="1" w:lastRow="0" w:firstColumn="1" w:lastColumn="0" w:noHBand="0" w:noVBand="1"/>
      </w:tblPr>
      <w:tblGrid>
        <w:gridCol w:w="4454"/>
        <w:gridCol w:w="4454"/>
      </w:tblGrid>
      <w:tr w:rsidR="001638C7" w:rsidTr="002D6121">
        <w:tc>
          <w:tcPr>
            <w:tcW w:w="8908" w:type="dxa"/>
            <w:gridSpan w:val="2"/>
          </w:tcPr>
          <w:p w:rsidR="001638C7" w:rsidRDefault="001638C7" w:rsidP="001638C7">
            <w:pPr>
              <w:pStyle w:val="Default"/>
              <w:jc w:val="both"/>
              <w:rPr>
                <w:sz w:val="22"/>
                <w:szCs w:val="22"/>
              </w:rPr>
            </w:pPr>
            <w:r>
              <w:rPr>
                <w:b/>
                <w:bCs/>
                <w:i/>
                <w:iCs/>
                <w:sz w:val="22"/>
                <w:szCs w:val="22"/>
              </w:rPr>
              <w:t>CRITERI GUIDA per la VALUTAZIONE e la DISCUSSIONE</w:t>
            </w:r>
          </w:p>
        </w:tc>
      </w:tr>
      <w:tr w:rsidR="001638C7" w:rsidTr="001638C7">
        <w:tc>
          <w:tcPr>
            <w:tcW w:w="4454" w:type="dxa"/>
          </w:tcPr>
          <w:p w:rsidR="001638C7" w:rsidRDefault="001638C7" w:rsidP="001638C7">
            <w:pPr>
              <w:pStyle w:val="Default"/>
              <w:jc w:val="both"/>
              <w:rPr>
                <w:sz w:val="22"/>
                <w:szCs w:val="22"/>
              </w:rPr>
            </w:pPr>
            <w:r>
              <w:rPr>
                <w:b/>
                <w:bCs/>
                <w:i/>
                <w:iCs/>
                <w:sz w:val="22"/>
                <w:szCs w:val="22"/>
              </w:rPr>
              <w:t>Elementi a favore di un’eventuale promozione</w:t>
            </w:r>
          </w:p>
        </w:tc>
        <w:tc>
          <w:tcPr>
            <w:tcW w:w="4454" w:type="dxa"/>
          </w:tcPr>
          <w:p w:rsidR="001638C7" w:rsidRDefault="001638C7" w:rsidP="001638C7">
            <w:pPr>
              <w:pStyle w:val="Default"/>
              <w:jc w:val="both"/>
              <w:rPr>
                <w:sz w:val="22"/>
                <w:szCs w:val="22"/>
              </w:rPr>
            </w:pPr>
            <w:r>
              <w:rPr>
                <w:b/>
                <w:bCs/>
                <w:i/>
                <w:iCs/>
                <w:sz w:val="22"/>
                <w:szCs w:val="22"/>
              </w:rPr>
              <w:t>Elementi che condizionano negativamente la promozione</w:t>
            </w:r>
          </w:p>
        </w:tc>
      </w:tr>
      <w:tr w:rsidR="001638C7" w:rsidTr="001638C7">
        <w:tc>
          <w:tcPr>
            <w:tcW w:w="4454" w:type="dxa"/>
          </w:tcPr>
          <w:p w:rsidR="001638C7" w:rsidRDefault="001638C7" w:rsidP="001638C7">
            <w:pPr>
              <w:pStyle w:val="Default"/>
              <w:rPr>
                <w:sz w:val="22"/>
                <w:szCs w:val="22"/>
              </w:rPr>
            </w:pPr>
            <w:r>
              <w:rPr>
                <w:i/>
                <w:iCs/>
                <w:sz w:val="22"/>
                <w:szCs w:val="22"/>
              </w:rPr>
              <w:t>Progressione rispetto al livello di partenza</w:t>
            </w:r>
          </w:p>
        </w:tc>
        <w:tc>
          <w:tcPr>
            <w:tcW w:w="4454" w:type="dxa"/>
          </w:tcPr>
          <w:p w:rsidR="001638C7" w:rsidRDefault="001638C7" w:rsidP="001638C7">
            <w:pPr>
              <w:pStyle w:val="Default"/>
              <w:rPr>
                <w:sz w:val="22"/>
                <w:szCs w:val="22"/>
              </w:rPr>
            </w:pPr>
            <w:r>
              <w:rPr>
                <w:i/>
                <w:iCs/>
                <w:sz w:val="22"/>
                <w:szCs w:val="22"/>
              </w:rPr>
              <w:t xml:space="preserve">Mancata progressione rispetto al livello di partenza </w:t>
            </w:r>
          </w:p>
        </w:tc>
      </w:tr>
      <w:tr w:rsidR="001638C7" w:rsidTr="001638C7">
        <w:tc>
          <w:tcPr>
            <w:tcW w:w="4454" w:type="dxa"/>
          </w:tcPr>
          <w:p w:rsidR="001638C7" w:rsidRDefault="001638C7" w:rsidP="001638C7">
            <w:pPr>
              <w:pStyle w:val="Default"/>
              <w:rPr>
                <w:sz w:val="22"/>
                <w:szCs w:val="22"/>
              </w:rPr>
            </w:pPr>
            <w:r>
              <w:rPr>
                <w:i/>
                <w:iCs/>
                <w:sz w:val="22"/>
                <w:szCs w:val="22"/>
              </w:rPr>
              <w:t>Valutazione positiva della possibilità di un recupero nei tempi previsti dalla normativa (anche in considerazione dell’incidenza delle discipline sul curricolo complessivo dello studente).</w:t>
            </w:r>
          </w:p>
        </w:tc>
        <w:tc>
          <w:tcPr>
            <w:tcW w:w="4454" w:type="dxa"/>
          </w:tcPr>
          <w:p w:rsidR="001638C7" w:rsidRDefault="001638C7" w:rsidP="001638C7">
            <w:pPr>
              <w:pStyle w:val="Default"/>
              <w:jc w:val="both"/>
              <w:rPr>
                <w:sz w:val="22"/>
                <w:szCs w:val="22"/>
              </w:rPr>
            </w:pPr>
            <w:r>
              <w:rPr>
                <w:i/>
                <w:iCs/>
                <w:sz w:val="22"/>
                <w:szCs w:val="22"/>
              </w:rPr>
              <w:t>Valutazione negativa della possibilità di un recupero nei tempi previsti dalla normativa (anche in considerazione dell’incidenza delle discipline sul curricolo complessivo dello studente).</w:t>
            </w:r>
          </w:p>
        </w:tc>
      </w:tr>
      <w:tr w:rsidR="001638C7" w:rsidTr="001638C7">
        <w:tc>
          <w:tcPr>
            <w:tcW w:w="4454" w:type="dxa"/>
          </w:tcPr>
          <w:p w:rsidR="001638C7" w:rsidRDefault="001638C7" w:rsidP="001638C7">
            <w:pPr>
              <w:pStyle w:val="Default"/>
              <w:jc w:val="both"/>
              <w:rPr>
                <w:sz w:val="22"/>
                <w:szCs w:val="22"/>
              </w:rPr>
            </w:pPr>
            <w:r>
              <w:rPr>
                <w:i/>
                <w:iCs/>
                <w:sz w:val="22"/>
                <w:szCs w:val="22"/>
              </w:rPr>
              <w:t>Condotta 8, 9 o 10</w:t>
            </w:r>
          </w:p>
        </w:tc>
        <w:tc>
          <w:tcPr>
            <w:tcW w:w="4454" w:type="dxa"/>
          </w:tcPr>
          <w:p w:rsidR="001638C7" w:rsidRDefault="001638C7" w:rsidP="001638C7">
            <w:pPr>
              <w:pStyle w:val="Default"/>
              <w:jc w:val="both"/>
              <w:rPr>
                <w:sz w:val="22"/>
                <w:szCs w:val="22"/>
              </w:rPr>
            </w:pPr>
            <w:r>
              <w:rPr>
                <w:i/>
                <w:iCs/>
                <w:sz w:val="22"/>
                <w:szCs w:val="22"/>
              </w:rPr>
              <w:t>Condotta 6 o 7.</w:t>
            </w:r>
          </w:p>
        </w:tc>
      </w:tr>
    </w:tbl>
    <w:p w:rsidR="001638C7" w:rsidRDefault="001638C7" w:rsidP="001638C7">
      <w:pPr>
        <w:pStyle w:val="Default"/>
        <w:ind w:left="720"/>
        <w:jc w:val="both"/>
        <w:rPr>
          <w:sz w:val="22"/>
          <w:szCs w:val="22"/>
        </w:rPr>
      </w:pPr>
    </w:p>
    <w:tbl>
      <w:tblPr>
        <w:tblW w:w="14664" w:type="dxa"/>
        <w:tblInd w:w="-108" w:type="dxa"/>
        <w:tblBorders>
          <w:top w:val="nil"/>
          <w:left w:val="nil"/>
          <w:bottom w:val="nil"/>
          <w:right w:val="nil"/>
        </w:tblBorders>
        <w:tblLayout w:type="fixed"/>
        <w:tblLook w:val="0000" w:firstRow="0" w:lastRow="0" w:firstColumn="0" w:lastColumn="0" w:noHBand="0" w:noVBand="0"/>
      </w:tblPr>
      <w:tblGrid>
        <w:gridCol w:w="9889"/>
        <w:gridCol w:w="4775"/>
      </w:tblGrid>
      <w:tr w:rsidR="001638C7" w:rsidTr="008979FC">
        <w:trPr>
          <w:trHeight w:val="110"/>
        </w:trPr>
        <w:tc>
          <w:tcPr>
            <w:tcW w:w="14664" w:type="dxa"/>
            <w:gridSpan w:val="2"/>
          </w:tcPr>
          <w:p w:rsidR="001638C7" w:rsidRDefault="001638C7">
            <w:pPr>
              <w:pStyle w:val="Default"/>
              <w:rPr>
                <w:sz w:val="22"/>
                <w:szCs w:val="22"/>
              </w:rPr>
            </w:pPr>
          </w:p>
        </w:tc>
      </w:tr>
      <w:tr w:rsidR="001638C7" w:rsidTr="008979FC">
        <w:trPr>
          <w:trHeight w:val="244"/>
        </w:trPr>
        <w:tc>
          <w:tcPr>
            <w:tcW w:w="9889" w:type="dxa"/>
          </w:tcPr>
          <w:p w:rsidR="001638C7" w:rsidRDefault="001638C7">
            <w:pPr>
              <w:pStyle w:val="Default"/>
              <w:rPr>
                <w:sz w:val="22"/>
                <w:szCs w:val="22"/>
              </w:rPr>
            </w:pPr>
          </w:p>
        </w:tc>
        <w:tc>
          <w:tcPr>
            <w:tcW w:w="4774" w:type="dxa"/>
          </w:tcPr>
          <w:p w:rsidR="001638C7" w:rsidRDefault="001638C7">
            <w:pPr>
              <w:pStyle w:val="Default"/>
              <w:rPr>
                <w:sz w:val="22"/>
                <w:szCs w:val="22"/>
              </w:rPr>
            </w:pPr>
          </w:p>
        </w:tc>
      </w:tr>
      <w:tr w:rsidR="001638C7" w:rsidTr="008979FC">
        <w:trPr>
          <w:trHeight w:val="110"/>
        </w:trPr>
        <w:tc>
          <w:tcPr>
            <w:tcW w:w="9889" w:type="dxa"/>
          </w:tcPr>
          <w:p w:rsidR="001638C7" w:rsidRDefault="001638C7">
            <w:pPr>
              <w:pStyle w:val="Default"/>
              <w:rPr>
                <w:sz w:val="22"/>
                <w:szCs w:val="22"/>
              </w:rPr>
            </w:pPr>
          </w:p>
        </w:tc>
        <w:tc>
          <w:tcPr>
            <w:tcW w:w="4774" w:type="dxa"/>
          </w:tcPr>
          <w:p w:rsidR="001638C7" w:rsidRDefault="001638C7">
            <w:pPr>
              <w:pStyle w:val="Default"/>
              <w:rPr>
                <w:sz w:val="22"/>
                <w:szCs w:val="22"/>
              </w:rPr>
            </w:pPr>
          </w:p>
        </w:tc>
      </w:tr>
      <w:tr w:rsidR="001638C7" w:rsidTr="008979FC">
        <w:trPr>
          <w:trHeight w:val="512"/>
        </w:trPr>
        <w:tc>
          <w:tcPr>
            <w:tcW w:w="9889" w:type="dxa"/>
          </w:tcPr>
          <w:p w:rsidR="008979FC" w:rsidRPr="008979FC" w:rsidRDefault="008979FC" w:rsidP="008979FC">
            <w:pPr>
              <w:autoSpaceDE w:val="0"/>
              <w:autoSpaceDN w:val="0"/>
              <w:adjustRightInd w:val="0"/>
              <w:spacing w:after="0" w:line="240" w:lineRule="auto"/>
              <w:jc w:val="both"/>
              <w:rPr>
                <w:rFonts w:ascii="Calibri" w:hAnsi="Calibri" w:cs="Calibri"/>
                <w:color w:val="000000"/>
              </w:rPr>
            </w:pPr>
            <w:r w:rsidRPr="008979FC">
              <w:rPr>
                <w:rFonts w:ascii="Calibri" w:hAnsi="Calibri" w:cs="Calibri"/>
                <w:color w:val="000000"/>
              </w:rPr>
              <w:t>Il Consiglio di classe s</w:t>
            </w:r>
            <w:r>
              <w:rPr>
                <w:rFonts w:ascii="Calibri" w:hAnsi="Calibri" w:cs="Calibri"/>
                <w:color w:val="000000"/>
              </w:rPr>
              <w:t xml:space="preserve">egnala, con lettera indirizzata </w:t>
            </w:r>
            <w:r w:rsidRPr="008979FC">
              <w:rPr>
                <w:rFonts w:ascii="Calibri" w:hAnsi="Calibri" w:cs="Calibri"/>
                <w:color w:val="000000"/>
              </w:rPr>
              <w:t xml:space="preserve">alla famiglia, i debiti dovuti a carenze nelle varie discipline e il calendario per l’espletamento delle prove di verifica. Al fine di facilitare il percorso di recupero degli studenti, si attivano interventi di recupero estivi secondo le direttive ministeriali. </w:t>
            </w:r>
          </w:p>
          <w:p w:rsidR="008979FC" w:rsidRPr="008979FC" w:rsidRDefault="008979FC" w:rsidP="008979FC">
            <w:pPr>
              <w:autoSpaceDE w:val="0"/>
              <w:autoSpaceDN w:val="0"/>
              <w:adjustRightInd w:val="0"/>
              <w:spacing w:after="0" w:line="240" w:lineRule="auto"/>
              <w:jc w:val="both"/>
              <w:rPr>
                <w:rFonts w:ascii="Calibri" w:hAnsi="Calibri" w:cs="Calibri"/>
                <w:color w:val="000000"/>
              </w:rPr>
            </w:pPr>
            <w:r w:rsidRPr="008979FC">
              <w:rPr>
                <w:rFonts w:ascii="Calibri" w:hAnsi="Calibri" w:cs="Calibri"/>
                <w:color w:val="000000"/>
              </w:rPr>
              <w:t xml:space="preserve">Entro l’inizio dell’anno scolastico successivo o, comunque, prima dell’inizio delle lezioni, si svolgono le prove nelle materie da recuperare, per procedere alla valutazione integrativa finale. Il giudizio definitivo di ammissione o di non ammissione dello studente alla classe successiva è formulato dal Consiglio di classe. </w:t>
            </w:r>
          </w:p>
          <w:p w:rsidR="008979FC" w:rsidRPr="008979FC" w:rsidRDefault="008979FC" w:rsidP="008979FC">
            <w:pPr>
              <w:autoSpaceDE w:val="0"/>
              <w:autoSpaceDN w:val="0"/>
              <w:adjustRightInd w:val="0"/>
              <w:spacing w:after="0" w:line="240" w:lineRule="auto"/>
              <w:jc w:val="both"/>
              <w:rPr>
                <w:rFonts w:ascii="Calibri" w:hAnsi="Calibri" w:cs="Calibri"/>
                <w:color w:val="000000"/>
              </w:rPr>
            </w:pPr>
            <w:r w:rsidRPr="008979FC">
              <w:rPr>
                <w:rFonts w:ascii="Calibri" w:hAnsi="Calibri" w:cs="Calibri"/>
                <w:color w:val="000000"/>
              </w:rPr>
              <w:t>Per quanto riguarda l’ammissione degli studenti delle classi Quinte all’Esame di Stato, il D.P.R. n° 122 del 22 giugno 2009 specifica che sono ammessi “</w:t>
            </w:r>
            <w:r w:rsidRPr="008979FC">
              <w:rPr>
                <w:rFonts w:ascii="Calibri" w:hAnsi="Calibri" w:cs="Calibri"/>
                <w:i/>
                <w:iCs/>
                <w:color w:val="000000"/>
              </w:rPr>
              <w:t>gli alunni che, nello scrutinio finale, conseguono una votazione non inferiore a sei decimi in ciascuna disciplina o gruppo di discipline valutate con l’attribuzione di un voto unico secondo l’ordinamento vigente e un voto di comportamento non inferiore a sei decimi</w:t>
            </w:r>
            <w:r w:rsidRPr="008979FC">
              <w:rPr>
                <w:rFonts w:ascii="Calibri" w:hAnsi="Calibri" w:cs="Calibri"/>
                <w:color w:val="000000"/>
              </w:rPr>
              <w:t xml:space="preserve">” (Art. 6, c. 1). </w:t>
            </w:r>
          </w:p>
          <w:p w:rsidR="001638C7" w:rsidRDefault="008979FC" w:rsidP="008979FC">
            <w:pPr>
              <w:pStyle w:val="Default"/>
              <w:jc w:val="both"/>
              <w:rPr>
                <w:sz w:val="22"/>
                <w:szCs w:val="22"/>
              </w:rPr>
            </w:pPr>
            <w:r w:rsidRPr="008979FC">
              <w:rPr>
                <w:sz w:val="22"/>
                <w:szCs w:val="22"/>
              </w:rPr>
              <w:t>Al termine dello scrutinio finale, il Consiglio di Classe attribuisce il Credito scolastico a ciascun alunno ammesso alla classe successiva nel triennio o all’Esame di Stato, secondo le tabelle ministeriali vigenti e i criteri stabiliti dal Collegio dei Docenti.</w:t>
            </w:r>
          </w:p>
        </w:tc>
        <w:tc>
          <w:tcPr>
            <w:tcW w:w="4774" w:type="dxa"/>
          </w:tcPr>
          <w:p w:rsidR="001638C7" w:rsidRDefault="001638C7">
            <w:pPr>
              <w:pStyle w:val="Default"/>
              <w:rPr>
                <w:sz w:val="22"/>
                <w:szCs w:val="22"/>
              </w:rPr>
            </w:pPr>
          </w:p>
        </w:tc>
      </w:tr>
      <w:tr w:rsidR="001638C7" w:rsidTr="008979FC">
        <w:trPr>
          <w:trHeight w:val="110"/>
        </w:trPr>
        <w:tc>
          <w:tcPr>
            <w:tcW w:w="9889" w:type="dxa"/>
          </w:tcPr>
          <w:p w:rsidR="001638C7" w:rsidRDefault="001638C7" w:rsidP="008979FC">
            <w:pPr>
              <w:pStyle w:val="Default"/>
              <w:jc w:val="both"/>
              <w:rPr>
                <w:sz w:val="22"/>
                <w:szCs w:val="22"/>
              </w:rPr>
            </w:pPr>
          </w:p>
        </w:tc>
        <w:tc>
          <w:tcPr>
            <w:tcW w:w="4774" w:type="dxa"/>
          </w:tcPr>
          <w:p w:rsidR="001638C7" w:rsidRDefault="001638C7">
            <w:pPr>
              <w:pStyle w:val="Default"/>
              <w:rPr>
                <w:sz w:val="22"/>
                <w:szCs w:val="22"/>
              </w:rPr>
            </w:pPr>
          </w:p>
        </w:tc>
      </w:tr>
    </w:tbl>
    <w:p w:rsidR="00C400BF" w:rsidRDefault="00C400BF"/>
    <w:sectPr w:rsidR="00C400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30B7"/>
    <w:multiLevelType w:val="hybridMultilevel"/>
    <w:tmpl w:val="37146D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7456B"/>
    <w:multiLevelType w:val="hybridMultilevel"/>
    <w:tmpl w:val="CB0E56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760C86"/>
    <w:multiLevelType w:val="hybridMultilevel"/>
    <w:tmpl w:val="3844DD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bZHh84oRvsSqxki4JuECdELd5eNFKVzMNIRncc5mK10IFOBx8dehwZVN+a9U7tuh0flBusJullQ9tmp2NqlQkw==" w:salt="pg3wZNYM1Lh0UisJhnyN1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C7"/>
    <w:rsid w:val="00005583"/>
    <w:rsid w:val="00045D16"/>
    <w:rsid w:val="001638C7"/>
    <w:rsid w:val="003A1958"/>
    <w:rsid w:val="003E6F82"/>
    <w:rsid w:val="008979FC"/>
    <w:rsid w:val="00B7084D"/>
    <w:rsid w:val="00B82037"/>
    <w:rsid w:val="00C40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D1D4E-D377-4039-B25A-95B02CAE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38C7"/>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163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447</Words>
  <Characters>2552</Characters>
  <Application>Microsoft Office Word</Application>
  <DocSecurity>8</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sciortino</dc:creator>
  <cp:keywords/>
  <dc:description/>
  <cp:lastModifiedBy>Utente Windows</cp:lastModifiedBy>
  <cp:revision>5</cp:revision>
  <dcterms:created xsi:type="dcterms:W3CDTF">2017-11-28T17:08:00Z</dcterms:created>
  <dcterms:modified xsi:type="dcterms:W3CDTF">2018-04-14T10:25:00Z</dcterms:modified>
</cp:coreProperties>
</file>